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77DB" w14:textId="77777777" w:rsidR="006B1A79"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t>§ 61.075. Equitable distribution of marital assets and liabilities.</w:t>
      </w:r>
    </w:p>
    <w:p w14:paraId="629C0890" w14:textId="77777777" w:rsidR="006B1A79"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t>(1) In a proceeding for dissolution of marriage, in addition to all other remedies available to a court to do equity between the parties, or in a proceeding for disposition of assets following a dissolution of marriage by a court which lacked jurisdiction over the absent spouse or lacked jurisdiction to dispose of the assets, the court shall set apart to each spouse that spouse’s nonmarital assets and liabilities, and in distributing the marital assets and liabilities between the parties, the court must begin with the premise that the distribution should be equal, unless there is a justification for an unequal distribution based on all relevant factors, including:</w:t>
      </w:r>
    </w:p>
    <w:p w14:paraId="17016DC2"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(a) The contribution to the marriage by each spouse, including contributions to the care and education of the children and services as homemaker.</w:t>
      </w:r>
    </w:p>
    <w:p w14:paraId="2CDC5F1B"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(b) The economic circumstances of the parties.</w:t>
      </w:r>
    </w:p>
    <w:p w14:paraId="1D39480E"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(c) The duration of the marriage.</w:t>
      </w:r>
    </w:p>
    <w:p w14:paraId="398E123C"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(d) Any interruption of personal careers or educational opportunities of either party.</w:t>
      </w:r>
    </w:p>
    <w:p w14:paraId="1A5E56C6"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(e) The contribution of one spouse to the personal career or educational opportunity of the other spouse.</w:t>
      </w:r>
    </w:p>
    <w:p w14:paraId="3033AEA4"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(f) The desirability of retaining any asset, including an interest in a business, corporation, or professional practice, intact and free from any claim or interference by the other party.</w:t>
      </w:r>
    </w:p>
    <w:p w14:paraId="49BF92B5"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(g) The contribution of each spouse to the acquisition, enhancement, and production of income or the improvement of, or the incurring of liabilities to, both the marital assets and the nonmarital assets of the parties.</w:t>
      </w:r>
    </w:p>
    <w:p w14:paraId="556C0E62"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(h) The desirability of retaining the marital home as a residence for any dependent child of the marriage, or any other party, when it would be equitable to do so, it is in the best interest of the child or that party, and it is financially feasible for the parties to maintain the residence until the child is emancipated or until exclusive possession is otherwise terminated by a court of competent jurisdiction. In making this determination, the court shall first determine if it would be in the best interest of the dependent child to remain in the marital home; and, if not, whether other equities would be served by giving any other party exclusive use and possession of the marital home.</w:t>
      </w:r>
    </w:p>
    <w:p w14:paraId="2D709D45"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w:t>
      </w:r>
      <w:proofErr w:type="spellStart"/>
      <w:r w:rsidRPr="006B1A79">
        <w:rPr>
          <w:rFonts w:ascii="Times New Roman" w:hAnsi="Times New Roman" w:cs="Times New Roman"/>
          <w:sz w:val="24"/>
          <w:szCs w:val="24"/>
        </w:rPr>
        <w:t>i</w:t>
      </w:r>
      <w:proofErr w:type="spellEnd"/>
      <w:r w:rsidRPr="006B1A79">
        <w:rPr>
          <w:rFonts w:ascii="Times New Roman" w:hAnsi="Times New Roman" w:cs="Times New Roman"/>
          <w:sz w:val="24"/>
          <w:szCs w:val="24"/>
        </w:rPr>
        <w:t>) The intentional dissipation, waste, depletion, or destruction of marital assets after the filing of the petition or within 2 years prior to the filing of the petition.</w:t>
      </w:r>
    </w:p>
    <w:p w14:paraId="544E2779"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(j) Any other factors necessary to do equity and justice between the parties.</w:t>
      </w:r>
    </w:p>
    <w:p w14:paraId="554D2AC4" w14:textId="77777777" w:rsidR="006B1A79"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t xml:space="preserve">(2) If the court awards a cash payment for the purpose of equitable distribution of marital assets, to be paid in full or in installments, the full amount ordered shall vest when the judgment is awarded and the award shall not terminate upon remarriage or death of either party, unless otherwise agreed to by the parties, but shall be treated as a debt owed from the obligor or the obligor’s estate to the </w:t>
      </w:r>
      <w:proofErr w:type="spellStart"/>
      <w:r w:rsidRPr="006B1A79">
        <w:rPr>
          <w:rFonts w:ascii="Times New Roman" w:hAnsi="Times New Roman" w:cs="Times New Roman"/>
          <w:sz w:val="24"/>
          <w:szCs w:val="24"/>
        </w:rPr>
        <w:t>obligee</w:t>
      </w:r>
      <w:proofErr w:type="spellEnd"/>
      <w:r w:rsidRPr="006B1A79">
        <w:rPr>
          <w:rFonts w:ascii="Times New Roman" w:hAnsi="Times New Roman" w:cs="Times New Roman"/>
          <w:sz w:val="24"/>
          <w:szCs w:val="24"/>
        </w:rPr>
        <w:t xml:space="preserve"> or the </w:t>
      </w:r>
      <w:proofErr w:type="spellStart"/>
      <w:r w:rsidRPr="006B1A79">
        <w:rPr>
          <w:rFonts w:ascii="Times New Roman" w:hAnsi="Times New Roman" w:cs="Times New Roman"/>
          <w:sz w:val="24"/>
          <w:szCs w:val="24"/>
        </w:rPr>
        <w:t>obligee’s</w:t>
      </w:r>
      <w:proofErr w:type="spellEnd"/>
      <w:r w:rsidRPr="006B1A79">
        <w:rPr>
          <w:rFonts w:ascii="Times New Roman" w:hAnsi="Times New Roman" w:cs="Times New Roman"/>
          <w:sz w:val="24"/>
          <w:szCs w:val="24"/>
        </w:rPr>
        <w:t xml:space="preserve"> estate, unless otherwise agreed to by the parties.</w:t>
      </w:r>
    </w:p>
    <w:p w14:paraId="0C6E8AEE" w14:textId="77777777" w:rsidR="006B1A79"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lastRenderedPageBreak/>
        <w:t>(3) In any contested dissolution action wherein a stipulation and agreement has not been entered and filed, any distribution of marital assets or marital liabilities shall be supported by factual findings in the judgment or order based on competent substantial evidence with reference to the factors enumerated in subsection (1). The distribution of all marital assets and marital liabilities, whether equal or unequal, shall include specific written findings of fact as to the following:</w:t>
      </w:r>
    </w:p>
    <w:p w14:paraId="07D48B41"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 xml:space="preserve">(a) Clear identification of nonmarital assets and ownership </w:t>
      </w:r>
      <w:proofErr w:type="gramStart"/>
      <w:r w:rsidRPr="006B1A79">
        <w:rPr>
          <w:rFonts w:ascii="Times New Roman" w:hAnsi="Times New Roman" w:cs="Times New Roman"/>
          <w:sz w:val="24"/>
          <w:szCs w:val="24"/>
        </w:rPr>
        <w:t>interests;</w:t>
      </w:r>
      <w:proofErr w:type="gramEnd"/>
    </w:p>
    <w:p w14:paraId="7FEEF854"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 xml:space="preserve">(b) Identification of marital assets, including the individual valuation of significant assets, and designation of which spouse shall be entitled to each </w:t>
      </w:r>
      <w:proofErr w:type="gramStart"/>
      <w:r w:rsidRPr="006B1A79">
        <w:rPr>
          <w:rFonts w:ascii="Times New Roman" w:hAnsi="Times New Roman" w:cs="Times New Roman"/>
          <w:sz w:val="24"/>
          <w:szCs w:val="24"/>
        </w:rPr>
        <w:t>asset;</w:t>
      </w:r>
      <w:proofErr w:type="gramEnd"/>
    </w:p>
    <w:p w14:paraId="0DB9A5CE"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 xml:space="preserve">(c) Identification of the marital liabilities and designation of which spouse shall be responsible for each </w:t>
      </w:r>
      <w:proofErr w:type="gramStart"/>
      <w:r w:rsidRPr="006B1A79">
        <w:rPr>
          <w:rFonts w:ascii="Times New Roman" w:hAnsi="Times New Roman" w:cs="Times New Roman"/>
          <w:sz w:val="24"/>
          <w:szCs w:val="24"/>
        </w:rPr>
        <w:t>liability;</w:t>
      </w:r>
      <w:proofErr w:type="gramEnd"/>
    </w:p>
    <w:p w14:paraId="261A89E8"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(d) Any other findings necessary to advise the parties or the reviewing court of the trial court’s rationale for the distribution of marital assets and allocation of liabilities.</w:t>
      </w:r>
    </w:p>
    <w:p w14:paraId="63295A5A" w14:textId="77777777" w:rsidR="006B1A79"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t>(4) The judgment distributing assets shall have the effect of a duly executed instrument of conveyance, transfer, release, or acquisition which is recorded in the county where the property is located when the judgment, or a certified copy of the judgment, is recorded in the official records of the county in which the property is located.</w:t>
      </w:r>
    </w:p>
    <w:p w14:paraId="447C1D11" w14:textId="77777777" w:rsidR="006B1A79"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t>(5) If the court finds good cause that there should be an interim partial distribution during the pendency of a dissolution action, the court may enter an interim order that shall identify and value the marital and nonmarital assets and liabilities made the subject of the sworn motion, set apart those nonmarital assets and liabilities, and provide for a partial distribution of those marital assets and liabilities. An interim order may be entered at any time after the date the dissolution of marriage is filed and served and before the final distribution of marital and nonmarital assets and marital and nonmarital liabilities.</w:t>
      </w:r>
    </w:p>
    <w:p w14:paraId="6873DE01"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(a) Such an interim order shall be entered only upon good cause shown and upon sworn motion establishing specific factual basis for the motion. The motion may be filed by either party and shall demonstrate good cause why the matter should not be deferred until the final hearing.</w:t>
      </w:r>
    </w:p>
    <w:p w14:paraId="4018BB7B"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 xml:space="preserve">(b) The court shall specifically </w:t>
      </w:r>
      <w:proofErr w:type="gramStart"/>
      <w:r w:rsidRPr="006B1A79">
        <w:rPr>
          <w:rFonts w:ascii="Times New Roman" w:hAnsi="Times New Roman" w:cs="Times New Roman"/>
          <w:sz w:val="24"/>
          <w:szCs w:val="24"/>
        </w:rPr>
        <w:t>take into account</w:t>
      </w:r>
      <w:proofErr w:type="gramEnd"/>
      <w:r w:rsidRPr="006B1A79">
        <w:rPr>
          <w:rFonts w:ascii="Times New Roman" w:hAnsi="Times New Roman" w:cs="Times New Roman"/>
          <w:sz w:val="24"/>
          <w:szCs w:val="24"/>
        </w:rPr>
        <w:t xml:space="preserve"> and give appropriate credit for any partial distribution of marital assets or liabilities in its final allocation of marital assets or liabilities. Further, the court shall make specific findings in any interim order under this section that any partial distribution will not cause inequity or prejudice to either party as to either party’s claims for support or attorney’s fees.</w:t>
      </w:r>
    </w:p>
    <w:p w14:paraId="0FDD45D6"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(c) Any interim order partially distributing marital assets or liabilities as provided in this subsection shall be pursuant to and comport with the factors in subsections (1) and (3) as such factors pertain to the assets or liabilities made the subject of the sworn motion.</w:t>
      </w:r>
    </w:p>
    <w:p w14:paraId="36CCE8A7"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(d) As used in this subsection, the term “good cause” means extraordinary circumstances that require an interim partial distribution.</w:t>
      </w:r>
    </w:p>
    <w:p w14:paraId="6E061433" w14:textId="77777777" w:rsidR="006B1A79"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lastRenderedPageBreak/>
        <w:t>(6) As used in this section:</w:t>
      </w:r>
    </w:p>
    <w:p w14:paraId="7A41D7F1"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(a)</w:t>
      </w:r>
    </w:p>
    <w:p w14:paraId="4B063CA6" w14:textId="77777777" w:rsidR="006B1A79" w:rsidRPr="006B1A79" w:rsidRDefault="006B1A79" w:rsidP="006B1A79">
      <w:pPr>
        <w:ind w:left="1440"/>
        <w:rPr>
          <w:rFonts w:ascii="Times New Roman" w:hAnsi="Times New Roman" w:cs="Times New Roman"/>
          <w:sz w:val="24"/>
          <w:szCs w:val="24"/>
        </w:rPr>
      </w:pPr>
      <w:r w:rsidRPr="006B1A79">
        <w:rPr>
          <w:rFonts w:ascii="Times New Roman" w:hAnsi="Times New Roman" w:cs="Times New Roman"/>
          <w:sz w:val="24"/>
          <w:szCs w:val="24"/>
        </w:rPr>
        <w:t>1. “Marital assets and liabilities” include:</w:t>
      </w:r>
    </w:p>
    <w:p w14:paraId="49518F23" w14:textId="77777777" w:rsidR="006B1A79" w:rsidRPr="006B1A79" w:rsidRDefault="006B1A79" w:rsidP="006B1A79">
      <w:pPr>
        <w:ind w:left="2160"/>
        <w:rPr>
          <w:rFonts w:ascii="Times New Roman" w:hAnsi="Times New Roman" w:cs="Times New Roman"/>
          <w:sz w:val="24"/>
          <w:szCs w:val="24"/>
        </w:rPr>
      </w:pPr>
      <w:r w:rsidRPr="006B1A79">
        <w:rPr>
          <w:rFonts w:ascii="Times New Roman" w:hAnsi="Times New Roman" w:cs="Times New Roman"/>
          <w:sz w:val="24"/>
          <w:szCs w:val="24"/>
        </w:rPr>
        <w:t>a. Assets acquired and liabilities incurred during the marriage, individually by either spouse or jointly by them.</w:t>
      </w:r>
    </w:p>
    <w:p w14:paraId="58ECFB98" w14:textId="77777777" w:rsidR="006B1A79" w:rsidRPr="006B1A79" w:rsidRDefault="006B1A79" w:rsidP="006B1A79">
      <w:pPr>
        <w:ind w:left="2160"/>
        <w:rPr>
          <w:rFonts w:ascii="Times New Roman" w:hAnsi="Times New Roman" w:cs="Times New Roman"/>
          <w:sz w:val="24"/>
          <w:szCs w:val="24"/>
        </w:rPr>
      </w:pPr>
      <w:r w:rsidRPr="006B1A79">
        <w:rPr>
          <w:rFonts w:ascii="Times New Roman" w:hAnsi="Times New Roman" w:cs="Times New Roman"/>
          <w:sz w:val="24"/>
          <w:szCs w:val="24"/>
        </w:rPr>
        <w:t>b. The enhancement in value and appreciation of nonmarital assets resulting from the efforts of either party during the marriage or from the contribution to or expenditure thereon of marital funds or other forms of marital assets, or both.</w:t>
      </w:r>
    </w:p>
    <w:p w14:paraId="167CD3CF" w14:textId="77777777" w:rsidR="006B1A79" w:rsidRPr="006B1A79" w:rsidRDefault="006B1A79" w:rsidP="006B1A79">
      <w:pPr>
        <w:ind w:left="2160"/>
        <w:rPr>
          <w:rFonts w:ascii="Times New Roman" w:hAnsi="Times New Roman" w:cs="Times New Roman"/>
          <w:sz w:val="24"/>
          <w:szCs w:val="24"/>
        </w:rPr>
      </w:pPr>
      <w:r w:rsidRPr="006B1A79">
        <w:rPr>
          <w:rFonts w:ascii="Times New Roman" w:hAnsi="Times New Roman" w:cs="Times New Roman"/>
          <w:sz w:val="24"/>
          <w:szCs w:val="24"/>
        </w:rPr>
        <w:t>c. The paydown of principal of a note and mortgage secured by nonmarital real property and a portion of any passive appreciation in the property, if the note and mortgage secured by the property are paid down from marital funds during the marriage. The portion of passive appreciation in the property characterized as marital and subject to equitable distribution is determined by multiplying a coverture fraction by the passive appreciation in the property during the marriage.</w:t>
      </w:r>
    </w:p>
    <w:p w14:paraId="4DD65AA7" w14:textId="77777777" w:rsidR="006B1A79" w:rsidRPr="006B1A79" w:rsidRDefault="006B1A79" w:rsidP="006B1A79">
      <w:pPr>
        <w:ind w:left="2880"/>
        <w:rPr>
          <w:rFonts w:ascii="Times New Roman" w:hAnsi="Times New Roman" w:cs="Times New Roman"/>
          <w:sz w:val="24"/>
          <w:szCs w:val="24"/>
        </w:rPr>
      </w:pPr>
      <w:r w:rsidRPr="006B1A79">
        <w:rPr>
          <w:rFonts w:ascii="Times New Roman" w:hAnsi="Times New Roman" w:cs="Times New Roman"/>
          <w:sz w:val="24"/>
          <w:szCs w:val="24"/>
        </w:rPr>
        <w:t>(I) The passive appreciation is determined by subtracting the value of the property on the date of the marriage or the date of acquisition of the property, whichever is later, from the value of the property on the valuation date in the dissolution action, less any active appreciation of the property during the marriage as described in sub-subparagraph b., and less any additional encumbrances secured by the property during the marriage in excess of the first note and mortgage on which principal is paid from marital funds.</w:t>
      </w:r>
    </w:p>
    <w:p w14:paraId="3360AA2F" w14:textId="77777777" w:rsidR="006B1A79" w:rsidRPr="006B1A79" w:rsidRDefault="006B1A79" w:rsidP="006B1A79">
      <w:pPr>
        <w:ind w:left="2880"/>
        <w:rPr>
          <w:rFonts w:ascii="Times New Roman" w:hAnsi="Times New Roman" w:cs="Times New Roman"/>
          <w:sz w:val="24"/>
          <w:szCs w:val="24"/>
        </w:rPr>
      </w:pPr>
      <w:r w:rsidRPr="006B1A79">
        <w:rPr>
          <w:rFonts w:ascii="Times New Roman" w:hAnsi="Times New Roman" w:cs="Times New Roman"/>
          <w:sz w:val="24"/>
          <w:szCs w:val="24"/>
        </w:rPr>
        <w:t>(II) The coverture fraction must consist of a numerator, defined as the total payment of principal from marital funds of all notes and mortgages secured by the property during the marriage, and a denominator, defined as the value of the subject real property on the date of the marriage, the date of acquisition of the property, or the date the property was encumbered by the first note and mortgage on which principal was paid from marital funds, whichever is later.</w:t>
      </w:r>
    </w:p>
    <w:p w14:paraId="1E6DAE09" w14:textId="77777777" w:rsidR="006B1A79" w:rsidRPr="006B1A79" w:rsidRDefault="006B1A79" w:rsidP="006B1A79">
      <w:pPr>
        <w:ind w:left="2880"/>
        <w:rPr>
          <w:rFonts w:ascii="Times New Roman" w:hAnsi="Times New Roman" w:cs="Times New Roman"/>
          <w:sz w:val="24"/>
          <w:szCs w:val="24"/>
        </w:rPr>
      </w:pPr>
      <w:r w:rsidRPr="006B1A79">
        <w:rPr>
          <w:rFonts w:ascii="Times New Roman" w:hAnsi="Times New Roman" w:cs="Times New Roman"/>
          <w:sz w:val="24"/>
          <w:szCs w:val="24"/>
        </w:rPr>
        <w:t>(III) The passive appreciation must be multiplied by the coverture fraction to determine the marital portion of the passive appreciation of the property.</w:t>
      </w:r>
    </w:p>
    <w:p w14:paraId="70BA4464" w14:textId="77777777" w:rsidR="006B1A79" w:rsidRPr="006B1A79" w:rsidRDefault="006B1A79" w:rsidP="006B1A79">
      <w:pPr>
        <w:ind w:left="2880"/>
        <w:rPr>
          <w:rFonts w:ascii="Times New Roman" w:hAnsi="Times New Roman" w:cs="Times New Roman"/>
          <w:sz w:val="24"/>
          <w:szCs w:val="24"/>
        </w:rPr>
      </w:pPr>
      <w:r w:rsidRPr="006B1A79">
        <w:rPr>
          <w:rFonts w:ascii="Times New Roman" w:hAnsi="Times New Roman" w:cs="Times New Roman"/>
          <w:sz w:val="24"/>
          <w:szCs w:val="24"/>
        </w:rPr>
        <w:t xml:space="preserve">(IV) The total marital portion of the property consists of the marital portion of the passive appreciation, the mortgage principal </w:t>
      </w:r>
      <w:r w:rsidRPr="006B1A79">
        <w:rPr>
          <w:rFonts w:ascii="Times New Roman" w:hAnsi="Times New Roman" w:cs="Times New Roman"/>
          <w:sz w:val="24"/>
          <w:szCs w:val="24"/>
        </w:rPr>
        <w:lastRenderedPageBreak/>
        <w:t>paid during the marriage from marital funds, and any active appreciation of the property during the marriage as described in sub-subparagraph b., not to exceed the total net equity in the property at the date of valuation.</w:t>
      </w:r>
    </w:p>
    <w:p w14:paraId="34DEA837" w14:textId="77777777" w:rsidR="006B1A79" w:rsidRPr="006B1A79" w:rsidRDefault="006B1A79" w:rsidP="006B1A79">
      <w:pPr>
        <w:ind w:left="2880"/>
        <w:rPr>
          <w:rFonts w:ascii="Times New Roman" w:hAnsi="Times New Roman" w:cs="Times New Roman"/>
          <w:sz w:val="24"/>
          <w:szCs w:val="24"/>
        </w:rPr>
      </w:pPr>
      <w:r w:rsidRPr="006B1A79">
        <w:rPr>
          <w:rFonts w:ascii="Times New Roman" w:hAnsi="Times New Roman" w:cs="Times New Roman"/>
          <w:sz w:val="24"/>
          <w:szCs w:val="24"/>
        </w:rPr>
        <w:t>(V) The court shall apply the formula specified in this subparagraph unless a party shows circumstances sufficient to establish that application of the formula would be inequitable under the facts presented.</w:t>
      </w:r>
    </w:p>
    <w:p w14:paraId="5CE8116F" w14:textId="77777777" w:rsidR="006B1A79" w:rsidRPr="006B1A79" w:rsidRDefault="006B1A79" w:rsidP="006B1A79">
      <w:pPr>
        <w:ind w:left="2160"/>
        <w:rPr>
          <w:rFonts w:ascii="Times New Roman" w:hAnsi="Times New Roman" w:cs="Times New Roman"/>
          <w:sz w:val="24"/>
          <w:szCs w:val="24"/>
        </w:rPr>
      </w:pPr>
      <w:r w:rsidRPr="006B1A79">
        <w:rPr>
          <w:rFonts w:ascii="Times New Roman" w:hAnsi="Times New Roman" w:cs="Times New Roman"/>
          <w:sz w:val="24"/>
          <w:szCs w:val="24"/>
        </w:rPr>
        <w:t>d. Interspousal gifts during the marriage.</w:t>
      </w:r>
    </w:p>
    <w:p w14:paraId="4DF1A5CA" w14:textId="77777777" w:rsidR="006B1A79" w:rsidRPr="006B1A79" w:rsidRDefault="006B1A79" w:rsidP="006B1A79">
      <w:pPr>
        <w:ind w:left="2160"/>
        <w:rPr>
          <w:rFonts w:ascii="Times New Roman" w:hAnsi="Times New Roman" w:cs="Times New Roman"/>
          <w:sz w:val="24"/>
          <w:szCs w:val="24"/>
        </w:rPr>
      </w:pPr>
      <w:r w:rsidRPr="006B1A79">
        <w:rPr>
          <w:rFonts w:ascii="Times New Roman" w:hAnsi="Times New Roman" w:cs="Times New Roman"/>
          <w:sz w:val="24"/>
          <w:szCs w:val="24"/>
        </w:rPr>
        <w:t>e. All vested and nonvested benefits, rights, and funds accrued during the marriage in retirement, pension, profit-sharing, annuity, deferred compensation, and insurance plans and programs.</w:t>
      </w:r>
    </w:p>
    <w:p w14:paraId="4A7227C0" w14:textId="77777777" w:rsidR="006B1A79" w:rsidRPr="006B1A79" w:rsidRDefault="006B1A79" w:rsidP="006B1A79">
      <w:pPr>
        <w:ind w:left="1440"/>
        <w:rPr>
          <w:rFonts w:ascii="Times New Roman" w:hAnsi="Times New Roman" w:cs="Times New Roman"/>
          <w:sz w:val="24"/>
          <w:szCs w:val="24"/>
        </w:rPr>
      </w:pPr>
      <w:r w:rsidRPr="006B1A79">
        <w:rPr>
          <w:rFonts w:ascii="Times New Roman" w:hAnsi="Times New Roman" w:cs="Times New Roman"/>
          <w:sz w:val="24"/>
          <w:szCs w:val="24"/>
        </w:rPr>
        <w:t>2. All real property held by the parties as tenants by the entireties, whether acquired prior to or during the marriage, shall be presumed to be a marital asset. If, in any case, a party makes a claim to the contrary, the burden of proof shall be on the party asserting the claim that the subject property, or some portion thereof, is nonmarital.</w:t>
      </w:r>
    </w:p>
    <w:p w14:paraId="186BC3C6" w14:textId="77777777" w:rsidR="006B1A79" w:rsidRPr="006B1A79" w:rsidRDefault="006B1A79" w:rsidP="006B1A79">
      <w:pPr>
        <w:ind w:left="1440"/>
        <w:rPr>
          <w:rFonts w:ascii="Times New Roman" w:hAnsi="Times New Roman" w:cs="Times New Roman"/>
          <w:sz w:val="24"/>
          <w:szCs w:val="24"/>
        </w:rPr>
      </w:pPr>
      <w:r w:rsidRPr="006B1A79">
        <w:rPr>
          <w:rFonts w:ascii="Times New Roman" w:hAnsi="Times New Roman" w:cs="Times New Roman"/>
          <w:sz w:val="24"/>
          <w:szCs w:val="24"/>
        </w:rPr>
        <w:t>3. All personal property titled jointly by the parties as tenants by the entireties, whether acquired prior to or during the marriage, shall be presumed to be a marital asset. In the event a party makes a claim to the contrary, the burden of proof shall be on the party asserting the claim that the subject property, or some portion thereof, is nonmarital.</w:t>
      </w:r>
    </w:p>
    <w:p w14:paraId="7942404B" w14:textId="77777777" w:rsidR="006B1A79" w:rsidRPr="006B1A79" w:rsidRDefault="006B1A79" w:rsidP="006B1A79">
      <w:pPr>
        <w:ind w:left="1440"/>
        <w:rPr>
          <w:rFonts w:ascii="Times New Roman" w:hAnsi="Times New Roman" w:cs="Times New Roman"/>
          <w:sz w:val="24"/>
          <w:szCs w:val="24"/>
        </w:rPr>
      </w:pPr>
      <w:r w:rsidRPr="006B1A79">
        <w:rPr>
          <w:rFonts w:ascii="Times New Roman" w:hAnsi="Times New Roman" w:cs="Times New Roman"/>
          <w:sz w:val="24"/>
          <w:szCs w:val="24"/>
        </w:rPr>
        <w:t>4. The burden of proof to overcome the gift presumption shall be by clear and convincing evidence.</w:t>
      </w:r>
    </w:p>
    <w:p w14:paraId="7DA97461"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(b) “Nonmarital assets and liabilities” include:</w:t>
      </w:r>
    </w:p>
    <w:p w14:paraId="68E2A63F" w14:textId="77777777" w:rsidR="006B1A79" w:rsidRPr="006B1A79" w:rsidRDefault="006B1A79" w:rsidP="006B1A79">
      <w:pPr>
        <w:ind w:left="1440"/>
        <w:rPr>
          <w:rFonts w:ascii="Times New Roman" w:hAnsi="Times New Roman" w:cs="Times New Roman"/>
          <w:sz w:val="24"/>
          <w:szCs w:val="24"/>
        </w:rPr>
      </w:pPr>
      <w:r w:rsidRPr="006B1A79">
        <w:rPr>
          <w:rFonts w:ascii="Times New Roman" w:hAnsi="Times New Roman" w:cs="Times New Roman"/>
          <w:sz w:val="24"/>
          <w:szCs w:val="24"/>
        </w:rPr>
        <w:t xml:space="preserve">1. Assets </w:t>
      </w:r>
      <w:proofErr w:type="gramStart"/>
      <w:r w:rsidRPr="006B1A79">
        <w:rPr>
          <w:rFonts w:ascii="Times New Roman" w:hAnsi="Times New Roman" w:cs="Times New Roman"/>
          <w:sz w:val="24"/>
          <w:szCs w:val="24"/>
        </w:rPr>
        <w:t>acquired</w:t>
      </w:r>
      <w:proofErr w:type="gramEnd"/>
      <w:r w:rsidRPr="006B1A79">
        <w:rPr>
          <w:rFonts w:ascii="Times New Roman" w:hAnsi="Times New Roman" w:cs="Times New Roman"/>
          <w:sz w:val="24"/>
          <w:szCs w:val="24"/>
        </w:rPr>
        <w:t xml:space="preserve"> and liabilities incurred by either party prior to the marriage, and assets acquired and liabilities incurred in exchange for such assets and liabilities;</w:t>
      </w:r>
    </w:p>
    <w:p w14:paraId="5A10A636" w14:textId="77777777" w:rsidR="006B1A79" w:rsidRPr="006B1A79" w:rsidRDefault="006B1A79" w:rsidP="006B1A79">
      <w:pPr>
        <w:ind w:left="1440"/>
        <w:rPr>
          <w:rFonts w:ascii="Times New Roman" w:hAnsi="Times New Roman" w:cs="Times New Roman"/>
          <w:sz w:val="24"/>
          <w:szCs w:val="24"/>
        </w:rPr>
      </w:pPr>
      <w:r w:rsidRPr="006B1A79">
        <w:rPr>
          <w:rFonts w:ascii="Times New Roman" w:hAnsi="Times New Roman" w:cs="Times New Roman"/>
          <w:sz w:val="24"/>
          <w:szCs w:val="24"/>
        </w:rPr>
        <w:t xml:space="preserve">2. Assets acquired separately by either party by </w:t>
      </w:r>
      <w:proofErr w:type="spellStart"/>
      <w:r w:rsidRPr="006B1A79">
        <w:rPr>
          <w:rFonts w:ascii="Times New Roman" w:hAnsi="Times New Roman" w:cs="Times New Roman"/>
          <w:sz w:val="24"/>
          <w:szCs w:val="24"/>
        </w:rPr>
        <w:t>noninterspousal</w:t>
      </w:r>
      <w:proofErr w:type="spellEnd"/>
      <w:r w:rsidRPr="006B1A79">
        <w:rPr>
          <w:rFonts w:ascii="Times New Roman" w:hAnsi="Times New Roman" w:cs="Times New Roman"/>
          <w:sz w:val="24"/>
          <w:szCs w:val="24"/>
        </w:rPr>
        <w:t xml:space="preserve"> gift, bequest, devise, or descent, and assets acquired in exchange for such </w:t>
      </w:r>
      <w:proofErr w:type="gramStart"/>
      <w:r w:rsidRPr="006B1A79">
        <w:rPr>
          <w:rFonts w:ascii="Times New Roman" w:hAnsi="Times New Roman" w:cs="Times New Roman"/>
          <w:sz w:val="24"/>
          <w:szCs w:val="24"/>
        </w:rPr>
        <w:t>assets;</w:t>
      </w:r>
      <w:proofErr w:type="gramEnd"/>
    </w:p>
    <w:p w14:paraId="4BC551F7" w14:textId="77777777" w:rsidR="006B1A79" w:rsidRPr="006B1A79" w:rsidRDefault="006B1A79" w:rsidP="006B1A79">
      <w:pPr>
        <w:ind w:left="1440"/>
        <w:rPr>
          <w:rFonts w:ascii="Times New Roman" w:hAnsi="Times New Roman" w:cs="Times New Roman"/>
          <w:sz w:val="24"/>
          <w:szCs w:val="24"/>
        </w:rPr>
      </w:pPr>
      <w:r w:rsidRPr="006B1A79">
        <w:rPr>
          <w:rFonts w:ascii="Times New Roman" w:hAnsi="Times New Roman" w:cs="Times New Roman"/>
          <w:sz w:val="24"/>
          <w:szCs w:val="24"/>
        </w:rPr>
        <w:t xml:space="preserve">3. All income derived from nonmarital assets during the marriage unless the income was treated, used, or relied upon by the parties as a marital </w:t>
      </w:r>
      <w:proofErr w:type="gramStart"/>
      <w:r w:rsidRPr="006B1A79">
        <w:rPr>
          <w:rFonts w:ascii="Times New Roman" w:hAnsi="Times New Roman" w:cs="Times New Roman"/>
          <w:sz w:val="24"/>
          <w:szCs w:val="24"/>
        </w:rPr>
        <w:t>asset;</w:t>
      </w:r>
      <w:proofErr w:type="gramEnd"/>
    </w:p>
    <w:p w14:paraId="6BE63D3B" w14:textId="77777777" w:rsidR="006B1A79" w:rsidRPr="006B1A79" w:rsidRDefault="006B1A79" w:rsidP="006B1A79">
      <w:pPr>
        <w:ind w:left="1440"/>
        <w:rPr>
          <w:rFonts w:ascii="Times New Roman" w:hAnsi="Times New Roman" w:cs="Times New Roman"/>
          <w:sz w:val="24"/>
          <w:szCs w:val="24"/>
        </w:rPr>
      </w:pPr>
      <w:r w:rsidRPr="006B1A79">
        <w:rPr>
          <w:rFonts w:ascii="Times New Roman" w:hAnsi="Times New Roman" w:cs="Times New Roman"/>
          <w:sz w:val="24"/>
          <w:szCs w:val="24"/>
        </w:rPr>
        <w:t xml:space="preserve">4. Assets and liabilities excluded from marital assets and liabilities by valid written agreement of the parties, and assets </w:t>
      </w:r>
      <w:proofErr w:type="gramStart"/>
      <w:r w:rsidRPr="006B1A79">
        <w:rPr>
          <w:rFonts w:ascii="Times New Roman" w:hAnsi="Times New Roman" w:cs="Times New Roman"/>
          <w:sz w:val="24"/>
          <w:szCs w:val="24"/>
        </w:rPr>
        <w:t>acquired</w:t>
      </w:r>
      <w:proofErr w:type="gramEnd"/>
      <w:r w:rsidRPr="006B1A79">
        <w:rPr>
          <w:rFonts w:ascii="Times New Roman" w:hAnsi="Times New Roman" w:cs="Times New Roman"/>
          <w:sz w:val="24"/>
          <w:szCs w:val="24"/>
        </w:rPr>
        <w:t xml:space="preserve"> and liabilities incurred in exchange for such assets and liabilities; and</w:t>
      </w:r>
    </w:p>
    <w:p w14:paraId="7AC7EBBA" w14:textId="77777777" w:rsidR="006B1A79" w:rsidRPr="006B1A79" w:rsidRDefault="006B1A79" w:rsidP="006B1A79">
      <w:pPr>
        <w:ind w:left="1440"/>
        <w:rPr>
          <w:rFonts w:ascii="Times New Roman" w:hAnsi="Times New Roman" w:cs="Times New Roman"/>
          <w:sz w:val="24"/>
          <w:szCs w:val="24"/>
        </w:rPr>
      </w:pPr>
      <w:r w:rsidRPr="006B1A79">
        <w:rPr>
          <w:rFonts w:ascii="Times New Roman" w:hAnsi="Times New Roman" w:cs="Times New Roman"/>
          <w:sz w:val="24"/>
          <w:szCs w:val="24"/>
        </w:rPr>
        <w:t xml:space="preserve">5. Any liability incurred by forgery or unauthorized signature of one spouse signing the name of the other spouse. Any such liability shall be a nonmarital </w:t>
      </w:r>
      <w:r w:rsidRPr="006B1A79">
        <w:rPr>
          <w:rFonts w:ascii="Times New Roman" w:hAnsi="Times New Roman" w:cs="Times New Roman"/>
          <w:sz w:val="24"/>
          <w:szCs w:val="24"/>
        </w:rPr>
        <w:lastRenderedPageBreak/>
        <w:t>liability only of the party having committed the forgery or having affixed the unauthorized signature. In determining an award of attorney’s fees and costs pursuant to s. 61.16, the court may consider forgery or an unauthorized signature by a party and may make a separate award for attorney’s fees and costs occasioned by the forgery or unauthorized signature. This subparagraph does not apply to any forged or unauthorized signature that was subsequently ratified by the other spouse.</w:t>
      </w:r>
    </w:p>
    <w:p w14:paraId="62AB42F8" w14:textId="5C6A12DE" w:rsidR="006B1A79"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t>(7) The cut-off date for determining assets and liabilities to be identified or classified as marital assets and liabilities is the earliest of the date the parties enter into a valid separation agreement, such other date as may be expressly established by such agreement, or the date of the filing of a petition for dissolution of marriage. The date for determining value of assets and the amount of liabilities identified or classified as marital is the date or dates as the judge determines is just and equitable under the circumstances. Different assets may be valued as of different dates, as, in the judge’s discretion, the circumstances require.</w:t>
      </w:r>
    </w:p>
    <w:p w14:paraId="5F34FC6F" w14:textId="77777777" w:rsidR="006B1A79"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t xml:space="preserve">(8) All assets </w:t>
      </w:r>
      <w:proofErr w:type="gramStart"/>
      <w:r w:rsidRPr="006B1A79">
        <w:rPr>
          <w:rFonts w:ascii="Times New Roman" w:hAnsi="Times New Roman" w:cs="Times New Roman"/>
          <w:sz w:val="24"/>
          <w:szCs w:val="24"/>
        </w:rPr>
        <w:t>acquired</w:t>
      </w:r>
      <w:proofErr w:type="gramEnd"/>
      <w:r w:rsidRPr="006B1A79">
        <w:rPr>
          <w:rFonts w:ascii="Times New Roman" w:hAnsi="Times New Roman" w:cs="Times New Roman"/>
          <w:sz w:val="24"/>
          <w:szCs w:val="24"/>
        </w:rPr>
        <w:t xml:space="preserve"> and liabilities incurred by either spouse subsequent to the date of the marriage and not specifically established as nonmarital assets or liabilities are presumed to be marital assets and liabilities. Such presumption is overcome by a showing that the assets and liabilities are nonmarital assets and liabilities. The presumption is only for evidentiary purposes in the dissolution proceeding and does not vest title. Title to disputed assets shall vest only by the judgment of a court. This section does not require the joinder of spouses in the conveyance, transfer, or hypothecation of a spouse’s individual property; affect the laws of descent and distribution; or establish community property in this state.</w:t>
      </w:r>
    </w:p>
    <w:p w14:paraId="0EC50E16" w14:textId="77777777" w:rsidR="006B1A79"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t>(9) The court may provide for equitable distribution of the marital assets and liabilities without regard to alimony for either party. After the determination of an equitable distribution of the marital assets and liabilities, the court shall consider whether a judgment for alimony shall be made.</w:t>
      </w:r>
    </w:p>
    <w:p w14:paraId="38BA1AB7" w14:textId="77777777" w:rsidR="006B1A79"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t>(10)</w:t>
      </w:r>
    </w:p>
    <w:p w14:paraId="569FA536"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 xml:space="preserve">(a) To do equity between the parties, the court may, in lieu of or to supplement, facilitate, or effectuate the equitable division of marital assets and liabilities, order a monetary payment in a lump sum or in installments paid over a fixed </w:t>
      </w:r>
      <w:proofErr w:type="gramStart"/>
      <w:r w:rsidRPr="006B1A79">
        <w:rPr>
          <w:rFonts w:ascii="Times New Roman" w:hAnsi="Times New Roman" w:cs="Times New Roman"/>
          <w:sz w:val="24"/>
          <w:szCs w:val="24"/>
        </w:rPr>
        <w:t>period of time</w:t>
      </w:r>
      <w:proofErr w:type="gramEnd"/>
      <w:r w:rsidRPr="006B1A79">
        <w:rPr>
          <w:rFonts w:ascii="Times New Roman" w:hAnsi="Times New Roman" w:cs="Times New Roman"/>
          <w:sz w:val="24"/>
          <w:szCs w:val="24"/>
        </w:rPr>
        <w:t>.</w:t>
      </w:r>
    </w:p>
    <w:p w14:paraId="4591F470"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(b) If installment payments are ordered, the court may require security and a reasonable rate of interest or may otherwise recognize the time value of the money to be paid in the judgment or order.</w:t>
      </w:r>
    </w:p>
    <w:p w14:paraId="0B5B5524" w14:textId="77777777" w:rsidR="006B1A79" w:rsidRPr="006B1A79" w:rsidRDefault="006B1A79" w:rsidP="006B1A79">
      <w:pPr>
        <w:ind w:left="720"/>
        <w:rPr>
          <w:rFonts w:ascii="Times New Roman" w:hAnsi="Times New Roman" w:cs="Times New Roman"/>
          <w:sz w:val="24"/>
          <w:szCs w:val="24"/>
        </w:rPr>
      </w:pPr>
      <w:r w:rsidRPr="006B1A79">
        <w:rPr>
          <w:rFonts w:ascii="Times New Roman" w:hAnsi="Times New Roman" w:cs="Times New Roman"/>
          <w:sz w:val="24"/>
          <w:szCs w:val="24"/>
        </w:rPr>
        <w:t>(c) This subsection does not preclude the application of chapter 55 to any subsequent default.</w:t>
      </w:r>
    </w:p>
    <w:p w14:paraId="26D0436D" w14:textId="49DE017F" w:rsidR="00AE43F2" w:rsidRPr="006B1A79" w:rsidRDefault="006B1A79" w:rsidP="006B1A79">
      <w:pPr>
        <w:rPr>
          <w:rFonts w:ascii="Times New Roman" w:hAnsi="Times New Roman" w:cs="Times New Roman"/>
          <w:sz w:val="24"/>
          <w:szCs w:val="24"/>
        </w:rPr>
      </w:pPr>
      <w:r w:rsidRPr="006B1A79">
        <w:rPr>
          <w:rFonts w:ascii="Times New Roman" w:hAnsi="Times New Roman" w:cs="Times New Roman"/>
          <w:sz w:val="24"/>
          <w:szCs w:val="24"/>
        </w:rPr>
        <w:t>(11) Special equity is abolished. All claims formerly identified as special equity, and all special equity calculations, are abolished and shall be asserted either as a claim for unequal distribution of marital property and resolved by the factors set forth in subsection (1) or as a claim of enhancement in value or appreciation of nonmarital property.</w:t>
      </w:r>
    </w:p>
    <w:sectPr w:rsidR="00AE43F2" w:rsidRPr="006B1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zNzO1MDYxNDS1NDBR0lEKTi0uzszPAykwrAUADkp90iwAAAA="/>
  </w:docVars>
  <w:rsids>
    <w:rsidRoot w:val="006B1A79"/>
    <w:rsid w:val="002D2EF9"/>
    <w:rsid w:val="006B1A79"/>
    <w:rsid w:val="00AE43F2"/>
    <w:rsid w:val="00DF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8778"/>
  <w15:chartTrackingRefBased/>
  <w15:docId w15:val="{EB5A7ACD-616A-4FDE-B415-95933002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2050</Words>
  <Characters>11685</Characters>
  <Application>Microsoft Office Word</Application>
  <DocSecurity>0</DocSecurity>
  <Lines>97</Lines>
  <Paragraphs>27</Paragraphs>
  <ScaleCrop>false</ScaleCrop>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Wheeler</dc:creator>
  <cp:keywords/>
  <dc:description/>
  <cp:lastModifiedBy>Andrew Wheeler</cp:lastModifiedBy>
  <cp:revision>1</cp:revision>
  <dcterms:created xsi:type="dcterms:W3CDTF">2022-11-11T21:43:00Z</dcterms:created>
  <dcterms:modified xsi:type="dcterms:W3CDTF">2022-11-11T21:46:00Z</dcterms:modified>
</cp:coreProperties>
</file>